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D1" w:rsidRDefault="003615D1" w:rsidP="003615D1">
      <w:pPr>
        <w:spacing w:after="0" w:line="240" w:lineRule="auto"/>
        <w:ind w:left="6096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ЗАТВЕРДЖЕНО</w:t>
      </w:r>
    </w:p>
    <w:p w:rsidR="00384DDE" w:rsidRDefault="00384DDE" w:rsidP="00384DDE">
      <w:pPr>
        <w:spacing w:after="0" w:line="240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Наказ начальника ТУ ССО </w:t>
      </w:r>
    </w:p>
    <w:p w:rsidR="00384DDE" w:rsidRDefault="00384DDE" w:rsidP="00384DDE">
      <w:pPr>
        <w:spacing w:after="0" w:line="240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Черкаській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області</w:t>
      </w:r>
    </w:p>
    <w:p w:rsidR="00384DDE" w:rsidRPr="009353AF" w:rsidRDefault="00384DDE" w:rsidP="00384DDE">
      <w:pPr>
        <w:spacing w:after="0" w:line="240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324C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02</w:t>
      </w:r>
      <w:r w:rsidR="00EE17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</w:t>
      </w:r>
      <w:r w:rsidR="00324C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="00EE17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.2021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 </w:t>
      </w:r>
      <w:r w:rsidR="009353AF" w:rsidRPr="009353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206</w:t>
      </w:r>
    </w:p>
    <w:p w:rsidR="001B7E3F" w:rsidRPr="003449DF" w:rsidRDefault="001B7E3F" w:rsidP="001B7E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882826" w:rsidRPr="003615D1" w:rsidRDefault="00882826" w:rsidP="001B7E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7E3F" w:rsidRPr="001B7E3F" w:rsidRDefault="001B7E3F" w:rsidP="001B7E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B7E3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УМОВИ</w:t>
      </w:r>
    </w:p>
    <w:p w:rsidR="001B7E3F" w:rsidRPr="001B7E3F" w:rsidRDefault="001B7E3F" w:rsidP="001B7E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1140D1" w:rsidRDefault="001B7E3F" w:rsidP="00114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проведення конкурсу на зайняття вакантної посади</w:t>
      </w:r>
      <w:r w:rsidR="001140D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140D1" w:rsidRDefault="001B7E3F" w:rsidP="00114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контролер</w:t>
      </w:r>
      <w:r w:rsidR="0049664D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</w:t>
      </w: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ІІ 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категорії </w:t>
      </w:r>
      <w:r w:rsidR="009F487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3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відділення (</w:t>
      </w:r>
      <w:r w:rsidR="009F487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смт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9F487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Драбів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)</w:t>
      </w:r>
      <w:r w:rsidR="001140D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521E8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(</w:t>
      </w:r>
      <w:r w:rsidR="009F487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Драбів</w:t>
      </w:r>
      <w:r w:rsidR="00521E8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ський </w:t>
      </w:r>
    </w:p>
    <w:p w:rsidR="001140D1" w:rsidRDefault="00521E8D" w:rsidP="00114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районний суд) </w:t>
      </w:r>
      <w:r w:rsidR="009F487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взводу </w:t>
      </w:r>
      <w:r w:rsidR="00F3380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охорони</w:t>
      </w:r>
      <w:r w:rsidR="001140D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6A034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1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підрозділу охорони</w:t>
      </w:r>
      <w:r w:rsidR="0049664D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B7E3F" w:rsidRPr="0035124C" w:rsidRDefault="001B7E3F" w:rsidP="00114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</w:p>
    <w:p w:rsidR="005B32F0" w:rsidRDefault="005B32F0" w:rsidP="00114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5B32F0" w:rsidRPr="00CE4DF3" w:rsidRDefault="005B32F0" w:rsidP="005B32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Загальні умови</w:t>
      </w:r>
    </w:p>
    <w:p w:rsidR="005B32F0" w:rsidRDefault="005B32F0" w:rsidP="009F48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4DF3">
        <w:rPr>
          <w:rFonts w:ascii="Times New Roman" w:hAnsi="Times New Roman"/>
          <w:b/>
          <w:sz w:val="28"/>
          <w:szCs w:val="28"/>
          <w:lang w:val="uk-UA"/>
        </w:rPr>
        <w:t xml:space="preserve">1. Основні посадові обов’язки контролера </w:t>
      </w:r>
      <w:r w:rsidR="009F4875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ІІ </w:t>
      </w:r>
      <w:r w:rsidR="009F487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категорії 3 відділення                        (смт Драбів) (Драбівський районний суд) 2 взводу охорони </w:t>
      </w:r>
      <w:r w:rsidR="006A034E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1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підрозділ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у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охорони 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  <w:r w:rsidR="009E3FC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57F28" w:rsidRPr="00157F28" w:rsidRDefault="00157F28" w:rsidP="00157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157F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здійснює завдання із забезпечення охорони судів, органів та установ системи правосуддя</w:t>
      </w:r>
      <w:r w:rsidRPr="00157F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7F28" w:rsidRPr="00157F28" w:rsidRDefault="00157F28" w:rsidP="00157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157F28" w:rsidRPr="00157F28" w:rsidRDefault="00157F28" w:rsidP="00157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157F28" w:rsidRPr="00157F28" w:rsidRDefault="00157F28" w:rsidP="00157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157F28" w:rsidRPr="00157F28" w:rsidRDefault="00157F28" w:rsidP="00157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157F2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приміщень суду, органу й установи в системи правосуддя.</w:t>
      </w:r>
    </w:p>
    <w:p w:rsidR="006D60B4" w:rsidRPr="00157F28" w:rsidRDefault="006D60B4" w:rsidP="005B32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0B4" w:rsidRDefault="006D60B4" w:rsidP="006D60B4">
      <w:pPr>
        <w:tabs>
          <w:tab w:val="left" w:pos="837"/>
        </w:tabs>
        <w:spacing w:after="0" w:line="240" w:lineRule="auto"/>
        <w:ind w:left="-1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2. Умови оплати праці:</w:t>
      </w:r>
    </w:p>
    <w:p w:rsidR="00FF6052" w:rsidRPr="00FF6052" w:rsidRDefault="006D60B4" w:rsidP="00FF605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1) </w:t>
      </w:r>
      <w:r w:rsidR="00FF6052" w:rsidRP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посадовий оклад – </w:t>
      </w:r>
      <w:r w:rsid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3170</w:t>
      </w:r>
      <w:r w:rsidR="00FF6052" w:rsidRP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охорони», наказу Служби судової охорони від 27.12.2019 року № 281 «Про установлення посадових окладів співробітників територіальних підрозділів (територіальних управлінь) Служби судової охорони»; </w:t>
      </w:r>
    </w:p>
    <w:p w:rsidR="006D60B4" w:rsidRPr="00CE4DF3" w:rsidRDefault="006D60B4" w:rsidP="00FF6052">
      <w:pPr>
        <w:tabs>
          <w:tab w:val="left" w:pos="837"/>
        </w:tabs>
        <w:spacing w:after="0" w:line="240" w:lineRule="auto"/>
        <w:ind w:left="-108"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6D60B4" w:rsidRDefault="006D60B4" w:rsidP="006D60B4">
      <w:pPr>
        <w:tabs>
          <w:tab w:val="left" w:pos="837"/>
        </w:tabs>
        <w:spacing w:after="0" w:line="240" w:lineRule="auto"/>
        <w:ind w:left="-1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5124C" w:rsidRPr="00CE4DF3" w:rsidRDefault="0035124C" w:rsidP="006D60B4">
      <w:pPr>
        <w:tabs>
          <w:tab w:val="left" w:pos="837"/>
        </w:tabs>
        <w:spacing w:after="0" w:line="240" w:lineRule="auto"/>
        <w:ind w:left="-1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tbl>
      <w:tblPr>
        <w:tblW w:w="9984" w:type="dxa"/>
        <w:tblInd w:w="108" w:type="dxa"/>
        <w:tblLook w:val="0000"/>
      </w:tblPr>
      <w:tblGrid>
        <w:gridCol w:w="9984"/>
      </w:tblGrid>
      <w:tr w:rsidR="001B7E3F" w:rsidRPr="009353AF" w:rsidTr="0035124C">
        <w:trPr>
          <w:trHeight w:val="14772"/>
        </w:trPr>
        <w:tc>
          <w:tcPr>
            <w:tcW w:w="9984" w:type="dxa"/>
          </w:tcPr>
          <w:p w:rsidR="00AC78D6" w:rsidRPr="00CE4DF3" w:rsidRDefault="00AC78D6" w:rsidP="00AC78D6">
            <w:pPr>
              <w:tabs>
                <w:tab w:val="left" w:pos="720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4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lastRenderedPageBreak/>
              <w:t xml:space="preserve">          3. Інформація про строковість чи безстроковість призначення на посаду:</w:t>
            </w:r>
            <w:r w:rsidRPr="00CE4D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  </w:t>
            </w:r>
          </w:p>
          <w:p w:rsidR="00AC78D6" w:rsidRPr="00CE4DF3" w:rsidRDefault="00F76ED2" w:rsidP="00AC78D6">
            <w:pPr>
              <w:spacing w:after="0" w:line="240" w:lineRule="auto"/>
              <w:ind w:left="-108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</w:t>
            </w:r>
            <w:r w:rsidR="00AC78D6" w:rsidRPr="00CE4D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езстроково</w:t>
            </w:r>
          </w:p>
          <w:p w:rsidR="001E58FE" w:rsidRPr="00CE4DF3" w:rsidRDefault="001E58FE" w:rsidP="00AC78D6">
            <w:pPr>
              <w:spacing w:after="0" w:line="240" w:lineRule="auto"/>
              <w:ind w:left="-108" w:firstLine="85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1E58FE" w:rsidRPr="00CE4DF3" w:rsidRDefault="001E58FE" w:rsidP="00AC78D6">
            <w:pPr>
              <w:spacing w:after="0" w:line="240" w:lineRule="auto"/>
              <w:ind w:left="-108" w:firstLine="85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4DF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4. Перелік документів, необхідних для участі в конкурсі та строк їх подання:</w:t>
            </w:r>
          </w:p>
          <w:p w:rsidR="005F01AD" w:rsidRPr="003C1F94" w:rsidRDefault="005F01AD" w:rsidP="005F01A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1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:rsidR="005F01AD" w:rsidRPr="003C1F94" w:rsidRDefault="005F01AD" w:rsidP="005F01A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1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копія паспорта громадянина України, ідентифікаційний код; </w:t>
            </w:r>
          </w:p>
          <w:p w:rsidR="005F01AD" w:rsidRPr="003C1F94" w:rsidRDefault="005F01AD" w:rsidP="005F01A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1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копії документів про освіту (диплом/атестат з додатком з оцінками); </w:t>
            </w:r>
          </w:p>
          <w:p w:rsidR="005F01AD" w:rsidRPr="003C1F94" w:rsidRDefault="005F01AD" w:rsidP="005F01A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1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заповнена особова картка визначеного зразка з наклейною фотокарткою розміром 30х40 мм (форма П-2 – згідно з додатком), автобіографія (згідно з додатком);</w:t>
            </w:r>
          </w:p>
          <w:p w:rsidR="005F01AD" w:rsidRPr="003C1F94" w:rsidRDefault="005F01AD" w:rsidP="005F01A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1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:rsidR="005F01AD" w:rsidRPr="003C1F94" w:rsidRDefault="005F01AD" w:rsidP="005F01A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1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6) копія трудової книжки; </w:t>
            </w:r>
          </w:p>
          <w:p w:rsidR="005F01AD" w:rsidRPr="003C1F94" w:rsidRDefault="005F01AD" w:rsidP="005F01A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1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</w:t>
            </w:r>
          </w:p>
          <w:p w:rsidR="005F01AD" w:rsidRPr="003C1F94" w:rsidRDefault="005F01AD" w:rsidP="005F01A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1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7.1.) сертифікат про проходження профілактичного наркологічного огляду (форма № 140/о)</w:t>
            </w:r>
          </w:p>
          <w:p w:rsidR="005F01AD" w:rsidRPr="003C1F94" w:rsidRDefault="005F01AD" w:rsidP="005F01A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1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7.2.) медична довідки про проходження обов’язкових попереднього та періодичного психіатричних оглядів (форма № 122/-2/о);</w:t>
            </w:r>
          </w:p>
          <w:p w:rsidR="005F01AD" w:rsidRDefault="005F01AD" w:rsidP="005F01A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1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8) копія військового квитка або посвідчення особи військовослужбовця (для військовозобов’язаних або військовослужбовців)</w:t>
            </w:r>
            <w:r w:rsidR="00250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50148" w:rsidRPr="00590832" w:rsidRDefault="00250148" w:rsidP="005F01A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9) </w:t>
            </w:r>
            <w:r w:rsidR="001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590832" w:rsidRPr="00590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окумент </w:t>
            </w:r>
            <w:r w:rsidR="00590832" w:rsidRPr="005908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про повну загальну середню освіту, що підтверджує вивчення особою української мови як навчального предмета (дисципліни), або державни</w:t>
            </w:r>
            <w:r w:rsidR="005908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й</w:t>
            </w:r>
            <w:r w:rsidR="00590832" w:rsidRPr="005908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сертифікат про рівень володіння державною мовою, що видається Національною комісією зі стандартів державної мови.   </w:t>
            </w:r>
          </w:p>
          <w:p w:rsidR="005C73EE" w:rsidRDefault="005C73EE" w:rsidP="005C73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73EE" w:rsidRDefault="005F01AD" w:rsidP="005C73E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C1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Особа, яка бажає взяти участь у конкурсі, перед складанням кваліфікаційного іспиту пред’являє </w:t>
            </w:r>
            <w:r w:rsidR="001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конкурсній комісії </w:t>
            </w:r>
            <w:r w:rsidRPr="003C1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проведення конкурсу на зайняття вакантних посад паспорт громадянина України. </w:t>
            </w:r>
            <w:r w:rsidR="00A179B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  <w:p w:rsidR="005C73EE" w:rsidRDefault="005C73EE" w:rsidP="005C73E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80075" w:rsidRPr="00CE4DF3" w:rsidRDefault="00680075" w:rsidP="005C73E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4D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відповідності до частини 3 статті 54 Закону України «Про Національну поліцію», </w:t>
            </w:r>
            <w:r w:rsidRPr="00CE4DF3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80075" w:rsidRPr="00CE4DF3" w:rsidRDefault="00680075" w:rsidP="00680075">
            <w:pPr>
              <w:spacing w:after="0" w:line="240" w:lineRule="auto"/>
              <w:ind w:left="-108"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DF3766" w:rsidRPr="00E73A5C" w:rsidRDefault="00DF3766" w:rsidP="00DF376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3A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Документи приймаються з 0</w:t>
            </w:r>
            <w:r w:rsidR="00EE17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E73A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EE17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0B5C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E73A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години</w:t>
            </w:r>
            <w:r w:rsidR="005925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02</w:t>
            </w:r>
            <w:r w:rsidRPr="00E73A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925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вересня </w:t>
            </w:r>
            <w:r w:rsidRPr="00E73A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351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73A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до                     17:00 години </w:t>
            </w:r>
            <w:r w:rsidR="00F36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="004966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36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вересня </w:t>
            </w:r>
            <w:r w:rsidRPr="00E73A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351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73A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за адресою: м. Черкаси, бульвар Шевченка, 245 (Територіальне управління Служби судової охорони у Черкаській області).</w:t>
            </w:r>
          </w:p>
          <w:p w:rsidR="00680075" w:rsidRPr="00CE4DF3" w:rsidRDefault="00FF6052" w:rsidP="00163CCE">
            <w:pPr>
              <w:tabs>
                <w:tab w:val="left" w:pos="707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Н</w:t>
            </w:r>
            <w:r w:rsidR="00680075"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а контролера ІІ категорії </w:t>
            </w:r>
            <w:r w:rsidR="009F4875"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0A5762"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 xml:space="preserve"> відділення </w:t>
            </w:r>
            <w:r w:rsidR="007C4593"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9F4875"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7C4593"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9F4875"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</w:t>
            </w:r>
            <w:bookmarkStart w:id="0" w:name="_GoBack"/>
            <w:bookmarkEnd w:id="0"/>
            <w:r w:rsidR="007C4593"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F4875"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Драбів</w:t>
            </w:r>
            <w:r w:rsidR="007C4593"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 (</w:t>
            </w:r>
            <w:r w:rsidR="009F4875"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Драбі</w:t>
            </w:r>
            <w:r w:rsidR="007C4593"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вський районний суд) </w:t>
            </w:r>
            <w:r w:rsidR="009F4875"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0A5762"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 xml:space="preserve"> взвод</w:t>
            </w:r>
            <w:r w:rsidR="007646E9"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>у</w:t>
            </w:r>
            <w:r w:rsidR="000A5762"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 xml:space="preserve"> охорони</w:t>
            </w:r>
            <w:r w:rsidR="007C4593"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 xml:space="preserve"> </w:t>
            </w:r>
            <w:r w:rsidR="006A034E"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>1</w:t>
            </w:r>
            <w:r w:rsidR="0035124C"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 xml:space="preserve"> підрозділ</w:t>
            </w:r>
            <w:r w:rsidR="007646E9"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>у</w:t>
            </w:r>
            <w:r w:rsidR="0035124C" w:rsidRPr="009F4875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 xml:space="preserve"> охорони</w:t>
            </w:r>
            <w:r w:rsidR="0035124C" w:rsidRPr="0035124C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 xml:space="preserve"> </w:t>
            </w:r>
            <w:r w:rsidR="0035124C" w:rsidRPr="0035124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Територіального управління Служби судової охорони у Черкаській області</w:t>
            </w:r>
            <w:r w:rsidR="008F708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80075" w:rsidRPr="00CE4DF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CE705C" w:rsidRDefault="00CE705C" w:rsidP="00163CCE">
            <w:pPr>
              <w:tabs>
                <w:tab w:val="left" w:pos="716"/>
              </w:tabs>
              <w:spacing w:after="0" w:line="240" w:lineRule="auto"/>
              <w:ind w:left="-108"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146C84" w:rsidRPr="00CE4DF3" w:rsidRDefault="00593275" w:rsidP="00163CCE">
            <w:pPr>
              <w:tabs>
                <w:tab w:val="left" w:pos="641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4DF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</w:t>
            </w:r>
            <w:r w:rsidR="00146C84" w:rsidRPr="00CE4DF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5. Місце, дата та час початку проведення конкурсу: </w:t>
            </w:r>
          </w:p>
          <w:p w:rsidR="0049664D" w:rsidRDefault="00C27DD1" w:rsidP="0049664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</w:t>
            </w:r>
            <w:r w:rsidR="0049664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96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="00496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Черкаси</w:t>
            </w:r>
            <w:proofErr w:type="spellEnd"/>
            <w:r w:rsidR="00496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96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="00496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496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Пастерівська</w:t>
            </w:r>
            <w:proofErr w:type="spellEnd"/>
            <w:r w:rsidR="00496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102, спор</w:t>
            </w:r>
            <w:r w:rsidR="0049664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496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комплекс «Манеж»</w:t>
            </w:r>
            <w:r w:rsidR="0049664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7C459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21</w:t>
            </w:r>
            <w:r w:rsidR="0049664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C459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вересня </w:t>
            </w:r>
            <w:r w:rsidR="009F487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       </w:t>
            </w:r>
            <w:r w:rsidR="00496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35124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496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року</w:t>
            </w:r>
            <w:r w:rsidR="0049664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о </w:t>
            </w:r>
            <w:r w:rsidR="00496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09.00 </w:t>
            </w:r>
            <w:r w:rsidR="0049664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годині</w:t>
            </w:r>
            <w:r w:rsidR="00496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3275" w:rsidRPr="0049664D" w:rsidRDefault="00593275" w:rsidP="00163CCE">
            <w:pPr>
              <w:tabs>
                <w:tab w:val="left" w:pos="70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593275" w:rsidRPr="00CE4DF3" w:rsidRDefault="00593275" w:rsidP="002D79AE">
            <w:pPr>
              <w:tabs>
                <w:tab w:val="left" w:pos="705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uk-UA" w:eastAsia="ru-RU"/>
              </w:rPr>
            </w:pPr>
            <w:r w:rsidRPr="00CE4DF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uk-UA" w:eastAsia="ru-RU"/>
              </w:rPr>
              <w:t xml:space="preserve">            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593275" w:rsidRPr="00CE4DF3" w:rsidRDefault="00593275" w:rsidP="0059327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4D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Запісочний Олександр Іванович, (068) 932-49-72, kadry.ck@sso.court.gov.ua.;</w:t>
            </w:r>
          </w:p>
          <w:p w:rsidR="00593275" w:rsidRPr="00CE4DF3" w:rsidRDefault="00593275" w:rsidP="0059327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4D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Кріт Сергій Володимирович, (067) 707-91-14;</w:t>
            </w:r>
          </w:p>
          <w:p w:rsidR="00593275" w:rsidRPr="00CE4DF3" w:rsidRDefault="00593275" w:rsidP="0059327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</w:pPr>
            <w:proofErr w:type="spellStart"/>
            <w:r w:rsidRPr="00CE4D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Рудікевич</w:t>
            </w:r>
            <w:proofErr w:type="spellEnd"/>
            <w:r w:rsidRPr="00CE4D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Володимирович, (0</w:t>
            </w:r>
            <w:r w:rsidR="00496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  <w:r w:rsidRPr="00CE4D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="00496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649</w:t>
            </w:r>
            <w:r w:rsidRPr="00CE4D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96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  <w:r w:rsidRPr="00CE4D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50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  <w:r w:rsidRPr="00CE4D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46C84" w:rsidRPr="00CE4DF3" w:rsidRDefault="00146C84" w:rsidP="00680075">
            <w:pPr>
              <w:spacing w:after="0" w:line="240" w:lineRule="auto"/>
              <w:ind w:left="-108"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tbl>
            <w:tblPr>
              <w:tblW w:w="9768" w:type="dxa"/>
              <w:tblLook w:val="04A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  <w:gridCol w:w="270"/>
            </w:tblGrid>
            <w:tr w:rsidR="00CE4DF3" w:rsidRPr="00CE4DF3" w:rsidTr="00C2184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CE4DF3" w:rsidRPr="00CE4DF3" w:rsidRDefault="00CE4DF3" w:rsidP="00CE4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:rsidR="00CE4DF3" w:rsidRPr="00CE4DF3" w:rsidRDefault="00CE4DF3" w:rsidP="00CE4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Кваліфікаційні вимоги</w:t>
                  </w:r>
                </w:p>
              </w:tc>
            </w:tr>
            <w:tr w:rsidR="00CE4DF3" w:rsidRPr="00CE4DF3" w:rsidTr="00C2184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CE4DF3" w:rsidRPr="00CE4DF3" w:rsidRDefault="00CE4DF3" w:rsidP="00CE4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C2184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  <w:hideMark/>
                </w:tcPr>
                <w:p w:rsidR="00CE4DF3" w:rsidRPr="00CE4DF3" w:rsidRDefault="00B555D7" w:rsidP="00CE4DF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Освіта</w:t>
                  </w:r>
                </w:p>
              </w:tc>
              <w:tc>
                <w:tcPr>
                  <w:tcW w:w="5358" w:type="dxa"/>
                  <w:gridSpan w:val="2"/>
                  <w:hideMark/>
                </w:tcPr>
                <w:p w:rsidR="00CE4DF3" w:rsidRPr="00CE4DF3" w:rsidRDefault="00CE4DF3" w:rsidP="00CE4D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повна </w:t>
                  </w:r>
                  <w:r w:rsidR="00EC579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загальна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середня освіта</w:t>
                  </w:r>
                </w:p>
              </w:tc>
            </w:tr>
            <w:tr w:rsidR="00CE4DF3" w:rsidRPr="00CE4DF3" w:rsidTr="00C2184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  <w:hideMark/>
                </w:tcPr>
                <w:p w:rsidR="00CE4DF3" w:rsidRPr="00CE4DF3" w:rsidRDefault="00B555D7" w:rsidP="00CE4D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CE4DF3" w:rsidRPr="00CE4DF3" w:rsidRDefault="0000401D" w:rsidP="0000401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без досвіду роботи (перевага надається кандидатам з досвідом роботи в правоохоронних органах чи інших військових формуваннях)</w:t>
                  </w:r>
                  <w:r w:rsidR="006873F1"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, </w:t>
                  </w:r>
                  <w:r w:rsidR="006873F1" w:rsidRPr="0000401D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/>
                    </w:rPr>
                    <w:t>відсутність у кандидата офіцерських звань чи спеціальних звань середнього складу</w:t>
                  </w:r>
                  <w:r w:rsidR="006873F1"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.</w:t>
                  </w:r>
                  <w:r w:rsidR="00E61F8F"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CE4DF3" w:rsidRPr="00CE4DF3" w:rsidTr="00C2184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  <w:hideMark/>
                </w:tcPr>
                <w:p w:rsidR="00CE4DF3" w:rsidRPr="00CE4DF3" w:rsidRDefault="00B555D7" w:rsidP="00CE4DF3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  <w:hideMark/>
                </w:tcPr>
                <w:p w:rsidR="00CE4DF3" w:rsidRPr="00CE4DF3" w:rsidRDefault="00CE4DF3" w:rsidP="00CE4D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вільне володіння державною мовою.</w:t>
                  </w:r>
                </w:p>
              </w:tc>
            </w:tr>
            <w:tr w:rsidR="00CE4DF3" w:rsidRPr="00CE4DF3" w:rsidTr="00C2184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CE4DF3" w:rsidRPr="00CE4DF3" w:rsidRDefault="00CE4DF3" w:rsidP="00CE4D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C2184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CE4DF3" w:rsidRPr="00CE4DF3" w:rsidRDefault="00CE4DF3" w:rsidP="00CE4DF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Вимоги до компетентності</w:t>
                  </w:r>
                </w:p>
                <w:p w:rsidR="00CE4DF3" w:rsidRPr="00CE4DF3" w:rsidRDefault="00CE4DF3" w:rsidP="00CE4DF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C2184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CE4DF3" w:rsidRPr="00CE4DF3" w:rsidRDefault="00CE4DF3" w:rsidP="00CE4D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  <w:hideMark/>
                </w:tcPr>
                <w:p w:rsidR="00CE4DF3" w:rsidRPr="00CE4DF3" w:rsidRDefault="00CE4DF3" w:rsidP="00E662D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щирість та відкритість;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орієнтація на досягнення ефективного результату діяльності рівне ставлення та повага до колег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CE4DF3" w:rsidRPr="00CE4DF3" w:rsidRDefault="00CE4DF3" w:rsidP="00CE4D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CE4DF3" w:rsidRPr="00CE4DF3" w:rsidTr="00C2184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CE4DF3" w:rsidRPr="00CE4DF3" w:rsidRDefault="00CE4DF3" w:rsidP="00CE4D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CE4DF3" w:rsidRPr="00CE4DF3" w:rsidRDefault="00CE4DF3" w:rsidP="00E662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здатність систематизувати, узагальнювати інформацію;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гнучкість;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проникливіст</w:t>
                  </w:r>
                  <w:r w:rsidR="008F708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ь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CE4DF3" w:rsidRPr="00CE4DF3" w:rsidRDefault="00CE4DF3" w:rsidP="00CE4D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9353AF" w:rsidTr="00C2184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CE4DF3" w:rsidRPr="00CE4DF3" w:rsidRDefault="00CE4DF3" w:rsidP="00CE4D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  <w:hideMark/>
                </w:tcPr>
                <w:p w:rsidR="00CE4DF3" w:rsidRDefault="00CE4DF3" w:rsidP="00E662D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неупередженість та порядність;</w:t>
                  </w:r>
                  <w:r w:rsidR="00ED10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самостійність, організованість, відповідальність;</w:t>
                  </w:r>
                  <w:r w:rsidR="00442A0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наполегливість, рішучість, стриманість, здатність швидко приймати рішення в умовах обмеженого часу;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стійкість до стресу, емоційних та фізичних навантажень;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вміння аргументовано висловлювати свою думку;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прагнення до розвитку та 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самовдосконалення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9F7B2D" w:rsidRDefault="009F7B2D" w:rsidP="00E662D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E662D9" w:rsidRPr="00CE4DF3" w:rsidRDefault="00E662D9" w:rsidP="00E662D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C21849">
              <w:trPr>
                <w:trHeight w:val="408"/>
              </w:trPr>
              <w:tc>
                <w:tcPr>
                  <w:tcW w:w="4008" w:type="dxa"/>
                  <w:gridSpan w:val="2"/>
                  <w:shd w:val="clear" w:color="auto" w:fill="FFFFFF"/>
                  <w:hideMark/>
                </w:tcPr>
                <w:p w:rsidR="00CE4DF3" w:rsidRPr="00CE4DF3" w:rsidRDefault="00CE4DF3" w:rsidP="00CE4D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4. 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CE4DF3" w:rsidRPr="00CE4DF3" w:rsidRDefault="00CE4DF3" w:rsidP="00CE4D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:rsidR="00CE4DF3" w:rsidRPr="00CE4DF3" w:rsidRDefault="00CE4DF3" w:rsidP="00CE4D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знання системи правоохоронних органів, розмежування їх компетенції, порядок забезпечення їх співпраці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.</w:t>
                  </w:r>
                </w:p>
              </w:tc>
            </w:tr>
            <w:tr w:rsidR="00CE4DF3" w:rsidRPr="00CE4DF3" w:rsidTr="00C2184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CE4DF3" w:rsidRPr="00CE4DF3" w:rsidRDefault="00CE4DF3" w:rsidP="00CE4DF3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82" w:type="dxa"/>
                  <w:gridSpan w:val="3"/>
                </w:tcPr>
                <w:p w:rsidR="00CE4DF3" w:rsidRPr="00CE4DF3" w:rsidRDefault="00CE4DF3" w:rsidP="00CE4DF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C21849">
              <w:trPr>
                <w:gridAfter w:val="2"/>
                <w:wAfter w:w="378" w:type="dxa"/>
                <w:trHeight w:val="408"/>
              </w:trPr>
              <w:tc>
                <w:tcPr>
                  <w:tcW w:w="9390" w:type="dxa"/>
                  <w:gridSpan w:val="5"/>
                  <w:hideMark/>
                </w:tcPr>
                <w:p w:rsidR="00CE4DF3" w:rsidRPr="00CE4DF3" w:rsidRDefault="00CE4DF3" w:rsidP="00CE4DF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Професійні знання</w:t>
                  </w:r>
                </w:p>
              </w:tc>
            </w:tr>
            <w:tr w:rsidR="00CE4DF3" w:rsidRPr="009353AF" w:rsidTr="00C21849">
              <w:trPr>
                <w:gridAfter w:val="2"/>
                <w:wAfter w:w="378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CE4DF3" w:rsidRPr="00CE4DF3" w:rsidRDefault="00CE4DF3" w:rsidP="00CE4DF3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CE4DF3" w:rsidRPr="00CE4DF3" w:rsidRDefault="00CE4DF3" w:rsidP="00E662D9">
                  <w:pPr>
                    <w:ind w:left="17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</w:t>
                  </w:r>
                  <w:r w:rsidR="0000401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ого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кодекс</w:t>
                  </w:r>
                  <w:r w:rsidR="0000401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у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України.</w:t>
                  </w:r>
                </w:p>
              </w:tc>
            </w:tr>
          </w:tbl>
          <w:p w:rsidR="00CE4DF3" w:rsidRPr="00CE4DF3" w:rsidRDefault="00CE4DF3" w:rsidP="001B7E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B427F" w:rsidRPr="001B7E3F" w:rsidRDefault="00BB427F">
      <w:pPr>
        <w:rPr>
          <w:lang w:val="uk-UA"/>
        </w:rPr>
      </w:pPr>
    </w:p>
    <w:sectPr w:rsidR="00BB427F" w:rsidRPr="001B7E3F" w:rsidSect="001140D1">
      <w:headerReference w:type="default" r:id="rId7"/>
      <w:pgSz w:w="11906" w:h="16838" w:code="9"/>
      <w:pgMar w:top="567" w:right="512" w:bottom="42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8A9" w:rsidRDefault="00BA78A9">
      <w:pPr>
        <w:spacing w:after="0" w:line="240" w:lineRule="auto"/>
      </w:pPr>
      <w:r>
        <w:separator/>
      </w:r>
    </w:p>
  </w:endnote>
  <w:endnote w:type="continuationSeparator" w:id="0">
    <w:p w:rsidR="00BA78A9" w:rsidRDefault="00BA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8A9" w:rsidRDefault="00BA78A9">
      <w:pPr>
        <w:spacing w:after="0" w:line="240" w:lineRule="auto"/>
      </w:pPr>
      <w:r>
        <w:separator/>
      </w:r>
    </w:p>
  </w:footnote>
  <w:footnote w:type="continuationSeparator" w:id="0">
    <w:p w:rsidR="00BA78A9" w:rsidRDefault="00BA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5287"/>
    </w:sdtPr>
    <w:sdtContent>
      <w:p w:rsidR="00E902D7" w:rsidRDefault="00A0277D">
        <w:pPr>
          <w:pStyle w:val="a3"/>
          <w:jc w:val="center"/>
        </w:pPr>
        <w:r w:rsidRPr="00A0277D">
          <w:rPr>
            <w:lang w:val="uk-UA"/>
          </w:rPr>
          <w:fldChar w:fldCharType="begin"/>
        </w:r>
        <w:r w:rsidR="001B7E3F">
          <w:instrText>PAGE   \* MERGEFORMAT</w:instrText>
        </w:r>
        <w:r w:rsidRPr="00A0277D">
          <w:rPr>
            <w:lang w:val="uk-UA"/>
          </w:rPr>
          <w:fldChar w:fldCharType="separate"/>
        </w:r>
        <w:r w:rsidR="009353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902D7" w:rsidRDefault="009353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3B0"/>
    <w:rsid w:val="00003BF3"/>
    <w:rsid w:val="0000401D"/>
    <w:rsid w:val="00006311"/>
    <w:rsid w:val="00013651"/>
    <w:rsid w:val="00027B09"/>
    <w:rsid w:val="00040185"/>
    <w:rsid w:val="000A5762"/>
    <w:rsid w:val="000B37A6"/>
    <w:rsid w:val="000B5C5F"/>
    <w:rsid w:val="000F09F4"/>
    <w:rsid w:val="000F6622"/>
    <w:rsid w:val="001140D1"/>
    <w:rsid w:val="00146C84"/>
    <w:rsid w:val="00157F28"/>
    <w:rsid w:val="00163CCE"/>
    <w:rsid w:val="00171496"/>
    <w:rsid w:val="0018355B"/>
    <w:rsid w:val="001B5434"/>
    <w:rsid w:val="001B7E3F"/>
    <w:rsid w:val="001E58FE"/>
    <w:rsid w:val="00245B05"/>
    <w:rsid w:val="00250148"/>
    <w:rsid w:val="002640C7"/>
    <w:rsid w:val="002D79AE"/>
    <w:rsid w:val="002E49C5"/>
    <w:rsid w:val="002F7290"/>
    <w:rsid w:val="00324C3B"/>
    <w:rsid w:val="00334021"/>
    <w:rsid w:val="003439D5"/>
    <w:rsid w:val="003449DF"/>
    <w:rsid w:val="00345428"/>
    <w:rsid w:val="00350161"/>
    <w:rsid w:val="0035124C"/>
    <w:rsid w:val="003615D1"/>
    <w:rsid w:val="0037727A"/>
    <w:rsid w:val="00384DDE"/>
    <w:rsid w:val="00392C3A"/>
    <w:rsid w:val="003C1F94"/>
    <w:rsid w:val="00407D33"/>
    <w:rsid w:val="00420D11"/>
    <w:rsid w:val="00442A06"/>
    <w:rsid w:val="00443CC8"/>
    <w:rsid w:val="0049664D"/>
    <w:rsid w:val="00506B8E"/>
    <w:rsid w:val="00516370"/>
    <w:rsid w:val="00521E8D"/>
    <w:rsid w:val="00547BCF"/>
    <w:rsid w:val="00572871"/>
    <w:rsid w:val="00590832"/>
    <w:rsid w:val="0059259C"/>
    <w:rsid w:val="00593275"/>
    <w:rsid w:val="0059589A"/>
    <w:rsid w:val="005B32F0"/>
    <w:rsid w:val="005C73EE"/>
    <w:rsid w:val="005F01AD"/>
    <w:rsid w:val="006063A4"/>
    <w:rsid w:val="006141D9"/>
    <w:rsid w:val="00621EAC"/>
    <w:rsid w:val="006467C3"/>
    <w:rsid w:val="00661BFF"/>
    <w:rsid w:val="00674E04"/>
    <w:rsid w:val="00680075"/>
    <w:rsid w:val="006873F1"/>
    <w:rsid w:val="00692E63"/>
    <w:rsid w:val="006A034E"/>
    <w:rsid w:val="006D60B4"/>
    <w:rsid w:val="00733A54"/>
    <w:rsid w:val="00761104"/>
    <w:rsid w:val="007646E9"/>
    <w:rsid w:val="0079045C"/>
    <w:rsid w:val="00796AFC"/>
    <w:rsid w:val="007C4593"/>
    <w:rsid w:val="007E312E"/>
    <w:rsid w:val="007E4290"/>
    <w:rsid w:val="008134F4"/>
    <w:rsid w:val="00867183"/>
    <w:rsid w:val="00871816"/>
    <w:rsid w:val="00882826"/>
    <w:rsid w:val="008A4DD0"/>
    <w:rsid w:val="008C03FA"/>
    <w:rsid w:val="008C7501"/>
    <w:rsid w:val="008F18C2"/>
    <w:rsid w:val="008F7082"/>
    <w:rsid w:val="00901566"/>
    <w:rsid w:val="00924EF1"/>
    <w:rsid w:val="009353AF"/>
    <w:rsid w:val="0094153E"/>
    <w:rsid w:val="00952D6C"/>
    <w:rsid w:val="009603B0"/>
    <w:rsid w:val="00967916"/>
    <w:rsid w:val="009A1D7E"/>
    <w:rsid w:val="009B0700"/>
    <w:rsid w:val="009B4A84"/>
    <w:rsid w:val="009D0B4B"/>
    <w:rsid w:val="009E3FCA"/>
    <w:rsid w:val="009F4875"/>
    <w:rsid w:val="009F7B2D"/>
    <w:rsid w:val="00A0277D"/>
    <w:rsid w:val="00A179B4"/>
    <w:rsid w:val="00A70C4B"/>
    <w:rsid w:val="00A94DFE"/>
    <w:rsid w:val="00AB3214"/>
    <w:rsid w:val="00AB322F"/>
    <w:rsid w:val="00AC1EB5"/>
    <w:rsid w:val="00AC78D6"/>
    <w:rsid w:val="00B14DCD"/>
    <w:rsid w:val="00B555D7"/>
    <w:rsid w:val="00B76AE7"/>
    <w:rsid w:val="00B92405"/>
    <w:rsid w:val="00B95DD7"/>
    <w:rsid w:val="00BA78A9"/>
    <w:rsid w:val="00BB427F"/>
    <w:rsid w:val="00BC1D6A"/>
    <w:rsid w:val="00BC2C25"/>
    <w:rsid w:val="00C167FB"/>
    <w:rsid w:val="00C17FB1"/>
    <w:rsid w:val="00C27DD1"/>
    <w:rsid w:val="00C4618C"/>
    <w:rsid w:val="00CA4A8F"/>
    <w:rsid w:val="00CE4DF3"/>
    <w:rsid w:val="00CE705C"/>
    <w:rsid w:val="00CF4E10"/>
    <w:rsid w:val="00D16E63"/>
    <w:rsid w:val="00D279BB"/>
    <w:rsid w:val="00D30D70"/>
    <w:rsid w:val="00D32601"/>
    <w:rsid w:val="00D719E1"/>
    <w:rsid w:val="00DA1AFB"/>
    <w:rsid w:val="00DA1E6A"/>
    <w:rsid w:val="00DE0EDE"/>
    <w:rsid w:val="00DF3766"/>
    <w:rsid w:val="00E0106F"/>
    <w:rsid w:val="00E023B6"/>
    <w:rsid w:val="00E04E06"/>
    <w:rsid w:val="00E35BB4"/>
    <w:rsid w:val="00E5321C"/>
    <w:rsid w:val="00E61F8F"/>
    <w:rsid w:val="00E662D9"/>
    <w:rsid w:val="00E7340A"/>
    <w:rsid w:val="00E81B7A"/>
    <w:rsid w:val="00EA37A0"/>
    <w:rsid w:val="00EA51E8"/>
    <w:rsid w:val="00EC5799"/>
    <w:rsid w:val="00ED10C9"/>
    <w:rsid w:val="00EE17F0"/>
    <w:rsid w:val="00F12452"/>
    <w:rsid w:val="00F3380F"/>
    <w:rsid w:val="00F36198"/>
    <w:rsid w:val="00F76BFD"/>
    <w:rsid w:val="00F76ED2"/>
    <w:rsid w:val="00F8516F"/>
    <w:rsid w:val="00FA3BFE"/>
    <w:rsid w:val="00FD14DC"/>
    <w:rsid w:val="00FF6052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7E3F"/>
  </w:style>
  <w:style w:type="character" w:customStyle="1" w:styleId="rvts0">
    <w:name w:val="rvts0"/>
    <w:basedOn w:val="a0"/>
    <w:rsid w:val="00B76AE7"/>
  </w:style>
  <w:style w:type="paragraph" w:styleId="a5">
    <w:name w:val="Balloon Text"/>
    <w:basedOn w:val="a"/>
    <w:link w:val="a6"/>
    <w:uiPriority w:val="99"/>
    <w:semiHidden/>
    <w:unhideWhenUsed/>
    <w:rsid w:val="00CE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0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5321C"/>
    <w:pPr>
      <w:ind w:left="720"/>
      <w:contextualSpacing/>
    </w:pPr>
  </w:style>
  <w:style w:type="paragraph" w:customStyle="1" w:styleId="rvps2">
    <w:name w:val="rvps2"/>
    <w:basedOn w:val="a"/>
    <w:rsid w:val="00E5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501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9CE63-59C7-4C6C-AEA5-F52E6E43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Sergio</cp:lastModifiedBy>
  <cp:revision>6</cp:revision>
  <cp:lastPrinted>2020-05-13T07:19:00Z</cp:lastPrinted>
  <dcterms:created xsi:type="dcterms:W3CDTF">2021-09-02T07:03:00Z</dcterms:created>
  <dcterms:modified xsi:type="dcterms:W3CDTF">2021-09-02T12:07:00Z</dcterms:modified>
</cp:coreProperties>
</file>